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 理论课、独立设置的实验（实训）课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、通识教育选修</w:t>
      </w:r>
      <w:r>
        <w:rPr>
          <w:rFonts w:hint="eastAsia" w:ascii="黑体" w:hAnsi="黑体" w:eastAsia="黑体" w:cs="黑体"/>
          <w:sz w:val="32"/>
          <w:szCs w:val="32"/>
        </w:rPr>
        <w:t>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程大纲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模板</w:t>
      </w:r>
    </w:p>
    <w:p>
      <w:pPr>
        <w:pStyle w:val="2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民族民间舞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5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通识教育选修课程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民族民间舞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National Folk Dance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FX08TX05C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本科专业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舞蹈形体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</w:tr>
    </w:tbl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keepNext w:val="0"/>
        <w:keepLines w:val="0"/>
        <w:widowControl/>
        <w:suppressLineNumbers w:val="0"/>
        <w:spacing w:line="360" w:lineRule="auto"/>
        <w:ind w:firstLine="525" w:firstLineChars="25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《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民族民间舞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》是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本科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专业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通识教育选修课程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通过对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Hans" w:bidi="ar"/>
          <w14:textFill>
            <w14:solidFill>
              <w14:schemeClr w14:val="tx1"/>
            </w14:solidFill>
          </w14:textFill>
        </w:rPr>
        <w:t>藏族</w:t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Hans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Hans" w:bidi="ar"/>
          <w14:textFill>
            <w14:solidFill>
              <w14:schemeClr w14:val="tx1"/>
            </w14:solidFill>
          </w14:textFill>
        </w:rPr>
        <w:t>傣族</w:t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Hans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Hans" w:bidi="ar"/>
          <w14:textFill>
            <w14:solidFill>
              <w14:schemeClr w14:val="tx1"/>
            </w14:solidFill>
          </w14:textFill>
        </w:rPr>
        <w:t>维吾尔族三种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民族民间舞的鉴赏与实践，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Hans" w:bidi="ar"/>
          <w14:textFill>
            <w14:solidFill>
              <w14:schemeClr w14:val="tx1"/>
            </w14:solidFill>
          </w14:textFill>
        </w:rPr>
        <w:t>使学生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了解民族民间舞蹈不同风格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不同特点以及不同韵味的民间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Hans" w:bidi="ar"/>
          <w14:textFill>
            <w14:solidFill>
              <w14:schemeClr w14:val="tx1"/>
            </w14:solidFill>
          </w14:textFill>
        </w:rPr>
        <w:t>舞蹈文化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，反映不同民族不同的民风民俗、地域特征、生活方式以及美学追求，领略民族民间舞蹈所具有的独特魅力</w:t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并掌握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Hans" w:bidi="ar"/>
          <w14:textFill>
            <w14:solidFill>
              <w14:schemeClr w14:val="tx1"/>
            </w14:solidFill>
          </w14:textFill>
        </w:rPr>
        <w:t>藏族</w:t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Hans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Hans" w:bidi="ar"/>
          <w14:textFill>
            <w14:solidFill>
              <w14:schemeClr w14:val="tx1"/>
            </w14:solidFill>
          </w14:textFill>
        </w:rPr>
        <w:t>傣族</w:t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Hans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Hans" w:bidi="ar"/>
          <w14:textFill>
            <w14:solidFill>
              <w14:schemeClr w14:val="tx1"/>
            </w14:solidFill>
          </w14:textFill>
        </w:rPr>
        <w:t>维吾尔族三种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民族舞蹈的典型动作及特点</w:t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全面提高学生的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综合素质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能力</w:t>
      </w:r>
      <w:r>
        <w:rPr>
          <w:rFonts w:hint="default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艺术鉴赏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审美能力以及对民族民间文化的保护与传承</w:t>
      </w:r>
      <w:r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000000"/>
          <w:sz w:val="21"/>
          <w:szCs w:val="21"/>
        </w:rPr>
      </w:pPr>
    </w:p>
    <w:p>
      <w:pPr>
        <w:spacing w:line="360" w:lineRule="auto"/>
        <w:ind w:firstLine="420" w:firstLineChars="200"/>
        <w:jc w:val="left"/>
        <w:rPr>
          <w:rFonts w:hint="default" w:ascii="宋体" w:hAnsi="宋体"/>
          <w:color w:val="000000"/>
          <w:sz w:val="21"/>
          <w:szCs w:val="21"/>
          <w:lang w:val="en-US" w:eastAsia="zh-CN"/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4"/>
        <w:tblpPr w:leftFromText="180" w:rightFromText="180" w:vertAnchor="text" w:horzAnchor="margin" w:tblpX="-5" w:tblpY="174"/>
        <w:tblW w:w="89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568" w:hRule="atLeast"/>
        </w:trPr>
        <w:tc>
          <w:tcPr>
            <w:tcW w:w="73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23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和掌握藏族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傣族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维吾尔族三种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民族民间舞蹈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的文化背景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基本风格与特点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基本体态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动律以及风格特点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领略民族民间舞蹈所具有的独特魅力。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28" w:hRule="atLeast"/>
        </w:trPr>
        <w:tc>
          <w:tcPr>
            <w:tcW w:w="73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23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通过对</w:t>
            </w: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藏族</w:t>
            </w:r>
            <w:r>
              <w:rPr>
                <w:rFonts w:hint="default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傣族</w:t>
            </w:r>
            <w:r>
              <w:rPr>
                <w:rFonts w:hint="default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维吾尔族三种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民间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舞蹈</w:t>
            </w: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的基本训练</w:t>
            </w:r>
            <w:r>
              <w:rPr>
                <w:rFonts w:hint="default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使学生了解</w:t>
            </w: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掌握各民族舞蹈的典型动作及特点</w:t>
            </w:r>
            <w:r>
              <w:rPr>
                <w:rFonts w:hint="default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广泛积累舞蹈素材</w:t>
            </w:r>
            <w:r>
              <w:rPr>
                <w:rFonts w:hint="default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不断提高舞蹈鉴赏</w:t>
            </w:r>
            <w:r>
              <w:rPr>
                <w:rFonts w:hint="default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表演的能力</w:t>
            </w:r>
            <w:r>
              <w:rPr>
                <w:rFonts w:hint="default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43" w:hRule="atLeast"/>
        </w:trPr>
        <w:tc>
          <w:tcPr>
            <w:tcW w:w="73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23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Hans"/>
              </w:rPr>
              <w:t>发挥学生在学习中的主体作用</w:t>
            </w:r>
            <w:r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全面提高学生的综合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素质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能力</w:t>
            </w:r>
            <w:r>
              <w:rPr>
                <w:rFonts w:hint="default" w:ascii="宋体" w:hAnsi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艺术鉴赏</w:t>
            </w:r>
            <w:r>
              <w:rPr>
                <w:rFonts w:hint="default" w:ascii="宋体" w:hAnsi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审美能力以及对民族民间文化的保护与传承</w:t>
            </w:r>
            <w:r>
              <w:rPr>
                <w:rFonts w:hint="default" w:ascii="宋体" w:hAnsi="宋体"/>
                <w:color w:val="000000"/>
                <w:sz w:val="21"/>
                <w:szCs w:val="21"/>
                <w:lang w:eastAsia="zh-Hans"/>
              </w:rPr>
              <w:t>。</w:t>
            </w:r>
          </w:p>
          <w:p>
            <w:pPr>
              <w:rPr>
                <w:sz w:val="21"/>
                <w:szCs w:val="21"/>
              </w:rPr>
            </w:pPr>
          </w:p>
        </w:tc>
      </w:tr>
    </w:tbl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4"/>
        <w:tblW w:w="88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732"/>
        <w:gridCol w:w="4916"/>
        <w:gridCol w:w="1161"/>
        <w:gridCol w:w="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jc w:val="center"/>
        </w:trPr>
        <w:tc>
          <w:tcPr>
            <w:tcW w:w="113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3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116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藏族舞蹈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文化背景与基本体态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了解藏族民族民间舞蹈的基本风格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藏族民间舞的民族气质与人文心态的身体表现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了解中国传统文化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深入生活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树立正确的艺术观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培养审美创新能力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体现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中华民族精神气质的韵味</w:t>
            </w: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eastAsia="zh-CN" w:bidi="ar"/>
              </w:rPr>
              <w:t>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线下教学</w:t>
            </w:r>
            <w:r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课堂主要运用讲授法和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示范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法开展教学，辅以启发式提问拓宽学生学习思路。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预习藏族舞蹈文化背景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示范与模仿教学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布置课后练习作业</w:t>
            </w:r>
          </w:p>
        </w:tc>
        <w:tc>
          <w:tcPr>
            <w:tcW w:w="949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314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藏族舞蹈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颤膝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屈伸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膝部屈伸和颤动律的不同幅度和频率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身体动作与膝部不同性质的颤动与屈伸的结合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线下教学</w:t>
            </w:r>
            <w:r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课堂主要运用讲授法和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示范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法开展教学，辅以启发式提问拓宽学生学习思路。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欣赏藏族舞蹈节目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示范与模仿教学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布置课后练习作业</w:t>
            </w:r>
          </w:p>
        </w:tc>
        <w:tc>
          <w:tcPr>
            <w:tcW w:w="949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傣族舞蹈</w:t>
            </w:r>
            <w:r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文化背景与基本体态</w:t>
            </w:r>
            <w:r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傣族舞蹈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的基本风格及基本手型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傣族民间舞的民族气质与人文心态的身体表现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加强中华民族优秀传统文化教育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坚持以美育人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以美化人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积极弘扬中华美誉精神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线下教学</w:t>
            </w:r>
            <w:r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课堂主要运用讲授法和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示范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法开展教学，辅以启发式提问拓宽学生学习思路。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预习傣族舞蹈文化背景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示范与模仿教学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布置课后练习作业</w:t>
            </w:r>
          </w:p>
        </w:tc>
        <w:tc>
          <w:tcPr>
            <w:tcW w:w="949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傣族舞蹈</w:t>
            </w:r>
            <w:r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基本动律与基本步伐</w:t>
            </w:r>
            <w:r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流动或静态时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eastAsia="zh-Hans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始终保持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“三道弯”体态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在步伐中注意膝部屈伸的韵律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身体动律与步伐的协调配合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线下教学</w:t>
            </w:r>
            <w:r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课堂主要运用讲授法和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示范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法开展教学，辅以启发式提问拓宽学生学习思路。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欣赏傣族舞蹈节目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示范与模仿教学</w:t>
            </w:r>
          </w:p>
          <w:p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布置课后练习作业</w:t>
            </w:r>
          </w:p>
        </w:tc>
        <w:tc>
          <w:tcPr>
            <w:tcW w:w="949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维吾尔族舞蹈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文化背景与基本体态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维吾尔族舞蹈的基本风格与特点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维吾尔族民间舞的民族气质与人文心态的身体表现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传承和弘扬中华优秀传统文化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提高学生的审美创新能力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人文素养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增强文化自信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both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线下教学</w:t>
            </w:r>
            <w:r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课堂主要运用讲授法和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示范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法开展教学，辅以启发式提问拓宽学生学习思路。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预习维吾尔族舞蹈文化背景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示范与模仿教学</w:t>
            </w:r>
          </w:p>
          <w:p>
            <w:pPr>
              <w:adjustRightInd w:val="0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布置课后练习作业</w:t>
            </w:r>
          </w:p>
        </w:tc>
        <w:tc>
          <w:tcPr>
            <w:tcW w:w="949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13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维吾尔族舞蹈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基本动律与基本步伐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松弛自然的点颤动律与基本舞步的协调配合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eastAsia="zh-Hans"/>
              </w:rPr>
              <w:t>“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挺而不僵</w:t>
            </w:r>
            <w:r>
              <w:rPr>
                <w:rFonts w:hint="default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颤而不窜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eastAsia="zh-Hans"/>
              </w:rPr>
              <w:t>”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的动律特征及步伐训练的节奏切分</w:t>
            </w:r>
          </w:p>
          <w:p>
            <w:pPr>
              <w:jc w:val="both"/>
              <w:rPr>
                <w:rFonts w:hint="eastAsia" w:cs="宋体" w:asciiTheme="minorEastAsia" w:hAnsiTheme="minorEastAsia" w:eastAsiaTheme="minorEastAsia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线下教学</w:t>
            </w:r>
            <w:r>
              <w:rPr>
                <w:rFonts w:hint="default" w:asciiTheme="minorEastAsia" w:hAnsiTheme="minorEastAsia" w:eastAsiaTheme="minorEastAsia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课堂主要运用讲授法和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Hans"/>
              </w:rPr>
              <w:t>示范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法开展教学，辅以启发式提问拓宽学生学习思路。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欣赏维吾尔族舞蹈节目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示范与模仿教学</w:t>
            </w:r>
          </w:p>
          <w:p>
            <w:pPr>
              <w:adjustRightInd w:val="0"/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布置课后练习作业</w:t>
            </w:r>
          </w:p>
        </w:tc>
        <w:tc>
          <w:tcPr>
            <w:tcW w:w="949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rPr>
                <w:rFonts w:hint="eastAsia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630" w:firstLineChars="3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平时成绩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期末考试成绩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个部分组成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平时成绩（占总成绩的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%）：采用百分制。平时成绩分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考勤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（占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课堂表现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（占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作业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占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10%）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个部分。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rPr>
          <w:trHeight w:val="351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ind w:firstLine="420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954" w:type="dxa"/>
            <w:vAlign w:val="center"/>
          </w:tcPr>
          <w:p>
            <w:pPr>
              <w:ind w:firstLine="2102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4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考勤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；2.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课堂表现</w:t>
            </w:r>
            <w:r>
              <w:rPr>
                <w:rFonts w:hint="default" w:ascii="Times New Roman" w:cs="Times New Roman"/>
                <w:b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</w:tr>
      <w:tr>
        <w:trPr>
          <w:jc w:val="center"/>
        </w:trPr>
        <w:tc>
          <w:tcPr>
            <w:tcW w:w="1568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954" w:type="dxa"/>
            <w:vAlign w:val="top"/>
          </w:tcPr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</w:t>
            </w:r>
            <w:r>
              <w:rPr>
                <w:rFonts w:hint="eastAsia"/>
                <w:color w:val="333333"/>
                <w:sz w:val="21"/>
                <w:szCs w:val="21"/>
              </w:rPr>
              <w:t>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考勤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无任何请假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旷课等情况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，100%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到课率</w:t>
            </w:r>
          </w:p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2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.课堂表现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课堂学习状态饱满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认真完成老师教授的内容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并达到教师要求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.作业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对学习内容的要求与要领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掌握情况达到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90%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8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954" w:type="dxa"/>
            <w:vAlign w:val="top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考勤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无旷课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请假次数不多于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次</w:t>
            </w:r>
          </w:p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课堂表现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课堂学习状态良好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能够根据自身条件按照要求完成教授的内容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.作业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对学习内容的要求与要领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掌握情况达到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80%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8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954" w:type="dxa"/>
            <w:vAlign w:val="top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考勤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无旷课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请假次数超过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次</w:t>
            </w:r>
          </w:p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课堂表现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课堂学习状态欠佳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教授内容完成度较弱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未达到教师要求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.作业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对学习内容的要求与要领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掌握情况达到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70%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8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954" w:type="dxa"/>
            <w:vAlign w:val="top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  <w:r>
              <w:rPr>
                <w:rFonts w:hint="default"/>
                <w:color w:val="333333"/>
                <w:sz w:val="21"/>
                <w:szCs w:val="21"/>
              </w:rPr>
              <w:t>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考勤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：1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次旷课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请假次数超过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次</w:t>
            </w:r>
          </w:p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课堂表现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课堂学习状态较差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教授内容未完成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未达到教师要求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.作业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对学习内容的要求与要领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掌握情况达到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60%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68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954" w:type="dxa"/>
            <w:vAlign w:val="top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考勤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多次旷课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请假次数超过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次</w:t>
            </w:r>
          </w:p>
          <w:p>
            <w:pPr>
              <w:spacing w:line="280" w:lineRule="exact"/>
              <w:rPr>
                <w:rFonts w:hint="default"/>
                <w:color w:val="333333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课堂表现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课堂学习能力差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教授内容未完成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未达到教师要求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.作业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对学习内容的要求与要领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掌握情况低于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60%</w:t>
            </w:r>
          </w:p>
        </w:tc>
      </w:tr>
    </w:tbl>
    <w:p>
      <w:pPr>
        <w:spacing w:line="360" w:lineRule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2.期末考试（占总成绩的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期末考试成绩分舞蹈知识与</w:t>
      </w:r>
      <w:r>
        <w:rPr>
          <w:rFonts w:hint="eastAsia"/>
          <w:sz w:val="21"/>
          <w:szCs w:val="21"/>
        </w:rPr>
        <w:t>动作</w:t>
      </w:r>
      <w:r>
        <w:rPr>
          <w:rFonts w:hint="eastAsia"/>
          <w:sz w:val="21"/>
          <w:szCs w:val="21"/>
          <w:lang w:val="en-US" w:eastAsia="zh-Hans"/>
        </w:rPr>
        <w:t>要领的</w:t>
      </w:r>
      <w:r>
        <w:rPr>
          <w:rFonts w:hint="eastAsia"/>
          <w:sz w:val="21"/>
          <w:szCs w:val="21"/>
        </w:rPr>
        <w:t>掌握运用</w:t>
      </w:r>
      <w:r>
        <w:rPr>
          <w:rFonts w:hint="default"/>
          <w:sz w:val="21"/>
          <w:szCs w:val="21"/>
        </w:rPr>
        <w:t>（</w:t>
      </w:r>
      <w:r>
        <w:rPr>
          <w:rFonts w:hint="eastAsia"/>
          <w:sz w:val="21"/>
          <w:szCs w:val="21"/>
        </w:rPr>
        <w:t>占</w:t>
      </w:r>
      <w:r>
        <w:rPr>
          <w:rFonts w:hint="default"/>
          <w:sz w:val="21"/>
          <w:szCs w:val="21"/>
        </w:rPr>
        <w:t>40</w:t>
      </w:r>
      <w:r>
        <w:rPr>
          <w:rFonts w:hint="eastAsia"/>
          <w:sz w:val="21"/>
          <w:szCs w:val="21"/>
        </w:rPr>
        <w:t>%</w:t>
      </w:r>
      <w:r>
        <w:rPr>
          <w:rFonts w:hint="default"/>
          <w:sz w:val="21"/>
          <w:szCs w:val="21"/>
        </w:rPr>
        <w:t>）、</w:t>
      </w:r>
      <w:r>
        <w:rPr>
          <w:rFonts w:hint="eastAsia"/>
          <w:sz w:val="21"/>
          <w:szCs w:val="21"/>
          <w:lang w:val="en-US" w:eastAsia="zh-Hans"/>
        </w:rPr>
        <w:t>舞蹈</w:t>
      </w:r>
      <w:r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  <w:lang w:val="en-US" w:eastAsia="zh-Hans"/>
        </w:rPr>
        <w:t>现</w:t>
      </w:r>
      <w:r>
        <w:rPr>
          <w:rFonts w:hint="eastAsia"/>
          <w:sz w:val="21"/>
          <w:szCs w:val="21"/>
        </w:rPr>
        <w:t>力</w:t>
      </w:r>
      <w:r>
        <w:rPr>
          <w:rFonts w:hint="default"/>
          <w:sz w:val="21"/>
          <w:szCs w:val="21"/>
        </w:rPr>
        <w:t>（</w:t>
      </w:r>
      <w:r>
        <w:rPr>
          <w:rFonts w:hint="eastAsia"/>
          <w:sz w:val="21"/>
          <w:szCs w:val="21"/>
        </w:rPr>
        <w:t>占</w:t>
      </w:r>
      <w:r>
        <w:rPr>
          <w:rFonts w:hint="default"/>
          <w:sz w:val="21"/>
          <w:szCs w:val="21"/>
        </w:rPr>
        <w:t>3</w:t>
      </w:r>
      <w:r>
        <w:rPr>
          <w:rFonts w:hint="eastAsia"/>
          <w:sz w:val="21"/>
          <w:szCs w:val="21"/>
        </w:rPr>
        <w:t>0%</w:t>
      </w:r>
      <w:r>
        <w:rPr>
          <w:rFonts w:hint="eastAsia"/>
          <w:bCs/>
          <w:sz w:val="21"/>
          <w:szCs w:val="21"/>
        </w:rPr>
        <w:t>)</w:t>
      </w:r>
      <w:r>
        <w:rPr>
          <w:rFonts w:hint="eastAsia"/>
          <w:bCs/>
          <w:sz w:val="21"/>
          <w:szCs w:val="21"/>
          <w:lang w:val="en-US" w:eastAsia="zh-Hans"/>
        </w:rPr>
        <w:t>两个部分</w:t>
      </w:r>
      <w:r>
        <w:rPr>
          <w:rFonts w:hint="default"/>
          <w:bCs/>
          <w:sz w:val="21"/>
          <w:szCs w:val="21"/>
          <w:lang w:eastAsia="zh-Hans"/>
        </w:rPr>
        <w:t>。</w:t>
      </w:r>
    </w:p>
    <w:tbl>
      <w:tblPr>
        <w:tblStyle w:val="4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088"/>
        <w:gridCol w:w="843"/>
        <w:gridCol w:w="798"/>
        <w:gridCol w:w="678"/>
      </w:tblGrid>
      <w:tr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843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rPr>
          <w:trHeight w:val="567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藏族舞蹈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eastAsia="宋体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通过对藏族舞蹈基本体态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动律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步伐的训练考核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使学生了解藏族民间舞蹈知识文化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掌握藏族舞蹈基本技能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对民族民间文化的保护与传承具有使命感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rPr>
          <w:trHeight w:val="567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傣族舞蹈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eastAsia="宋体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通过傣族舞蹈基本体态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动律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步伐的训练考核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使学生了解傣族民间舞蹈知识文化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掌握傣族舞蹈基本技能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对民族民间文化的保护与传承具有使命感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增强文化自信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rPr>
          <w:trHeight w:val="567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维吾尔族舞蹈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通过维吾尔族舞蹈基本体态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动律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步伐的训练考核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使学生了解维吾尔族民间舞蹈知识文化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掌握维吾尔族舞蹈基本技能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对民族民间文化的保护与传承具有使命感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增强文化自信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</w:tbl>
    <w:p>
      <w:pPr>
        <w:pStyle w:val="6"/>
        <w:numPr>
          <w:ilvl w:val="0"/>
          <w:numId w:val="0"/>
        </w:numPr>
        <w:ind w:left="440" w:left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1"/>
        </w:numPr>
        <w:ind w:left="1160" w:leftChars="0"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5"/>
        <w:tblpPr w:leftFromText="180" w:rightFromText="180" w:vertAnchor="text" w:horzAnchor="page" w:tblpX="2365" w:tblpY="6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0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助教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学历（位）：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1-16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□实验室       □室外场地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企业微信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舞蹈室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课后</w:t>
            </w:r>
          </w:p>
        </w:tc>
      </w:tr>
    </w:tbl>
    <w:p>
      <w:pPr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李瑞林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中国民族民间舞教学法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西南师范大学出版社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，20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19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罗雄岩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.《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中国民间舞蹈文化教程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上海音乐出版社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，2001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满运喜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.《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中国民间舞技术训练教程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》，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上海音乐出版社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，2005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王克芬.《中国舞蹈发展史》，上海人民出版社，2014年.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[4]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Hans" w:eastAsia="zh-Hans"/>
        </w:rPr>
        <w:t>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Hans" w:eastAsia="zh-Hans"/>
        </w:rPr>
        <w:t>《舞蹈欣赏》，高等教育出版社，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Hans" w:eastAsia="zh-Hans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Hans" w:eastAsia="zh-Hans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.</w:t>
      </w:r>
    </w:p>
    <w:p>
      <w:pPr>
        <w:spacing w:line="360" w:lineRule="auto"/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舞蹈世界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-CCTV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节目官网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Hans"/>
        </w:rPr>
        <w:t>http://tv.cctv.com/lm/wdsj/</w:t>
      </w:r>
    </w:p>
    <w:p>
      <w:pPr>
        <w:spacing w:line="360" w:lineRule="auto"/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其他资料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中国民族民间舞教程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音像教材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大纲执笔人： </w:t>
      </w:r>
      <w:r>
        <w:rPr>
          <w:rFonts w:hint="eastAsia"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王蓉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庞雅文</w:t>
      </w:r>
      <w:r>
        <w:rPr>
          <w:rFonts w:hint="default"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荆琦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</w:p>
    <w:p>
      <w:pPr>
        <w:spacing w:line="360" w:lineRule="auto"/>
        <w:ind w:firstLine="5775" w:firstLineChars="2750"/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ongti SC Regular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Gujarati Sangam MN Regular">
    <w:panose1 w:val="00000500000000000000"/>
    <w:charset w:val="00"/>
    <w:family w:val="auto"/>
    <w:pitch w:val="default"/>
    <w:sig w:usb0="00040001" w:usb1="00000000" w:usb2="00000000" w:usb3="00000000" w:csb0="00000000" w:csb1="00000000"/>
  </w:font>
  <w:font w:name="Farisi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onburi Regular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Toppan Bunkyu Midashi Gothic">
    <w:panose1 w:val="020B0900000000000000"/>
    <w:charset w:val="80"/>
    <w:family w:val="auto"/>
    <w:pitch w:val="default"/>
    <w:sig w:usb0="00000003" w:usb1="2AC71C10" w:usb2="00000012" w:usb3="00000000" w:csb0="20020005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Helvetica Regular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GB18030 Bitmap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5BEF"/>
    <w:rsid w:val="02A15F15"/>
    <w:rsid w:val="075D5BEF"/>
    <w:rsid w:val="0D9A0A83"/>
    <w:rsid w:val="26B23071"/>
    <w:rsid w:val="358F1A6D"/>
    <w:rsid w:val="689C384C"/>
    <w:rsid w:val="6AC61400"/>
    <w:rsid w:val="7E94BC7F"/>
    <w:rsid w:val="96FEEE4F"/>
    <w:rsid w:val="B7EBD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2021-11-15T19:48:00Z</dcterms:created>
  <dc:creator>guanhy</dc:creator>
  <cp:lastModifiedBy>wangrong</cp:lastModifiedBy>
  <dcterms:modified xsi:type="dcterms:W3CDTF">2022-03-03T19:54:05Z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AACB62B65D74440AAB1BDC8F2B6C7922</vt:lpwstr>
  </property>
</Properties>
</file>